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8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ultiperspektivluftbildbefliegung im Frühjahr 2027 in fünf regionalen Teillo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